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94" w:rsidRPr="00471D9C" w:rsidRDefault="00471D9C" w:rsidP="00471D9C">
      <w:pPr>
        <w:jc w:val="center"/>
        <w:rPr>
          <w:b/>
          <w:sz w:val="28"/>
          <w:szCs w:val="28"/>
        </w:rPr>
      </w:pPr>
      <w:r w:rsidRPr="00471D9C">
        <w:rPr>
          <w:b/>
          <w:sz w:val="28"/>
          <w:szCs w:val="28"/>
        </w:rPr>
        <w:t xml:space="preserve">APARTADOS </w:t>
      </w:r>
      <w:r w:rsidR="00CE1359" w:rsidRPr="00471D9C">
        <w:rPr>
          <w:b/>
          <w:sz w:val="28"/>
          <w:szCs w:val="28"/>
        </w:rPr>
        <w:t>MODIFICACI</w:t>
      </w:r>
      <w:r w:rsidRPr="00471D9C">
        <w:rPr>
          <w:b/>
          <w:sz w:val="28"/>
          <w:szCs w:val="28"/>
        </w:rPr>
        <w:t xml:space="preserve">ÓN MEMORIAS DE VERIFICACIÓN TÍTULOS OFICIALES DE </w:t>
      </w:r>
      <w:r w:rsidR="002C3D2C">
        <w:rPr>
          <w:b/>
          <w:sz w:val="28"/>
          <w:szCs w:val="28"/>
        </w:rPr>
        <w:t>GRADO</w:t>
      </w:r>
      <w:r w:rsidR="00C8233D">
        <w:rPr>
          <w:b/>
          <w:sz w:val="28"/>
          <w:szCs w:val="28"/>
        </w:rPr>
        <w:t xml:space="preserve"> EN …</w:t>
      </w:r>
    </w:p>
    <w:p w:rsidR="00CE1359" w:rsidRPr="00CE1359" w:rsidRDefault="00471D9C" w:rsidP="00471D9C">
      <w:pPr>
        <w:spacing w:after="360"/>
        <w:jc w:val="center"/>
      </w:pPr>
      <w:r>
        <w:t>(A cumplimentar todos aquellos apartados afectados por la modificación del título oficial)</w:t>
      </w:r>
    </w:p>
    <w:p w:rsidR="00A47B66" w:rsidRPr="001D633B" w:rsidRDefault="00A47B66" w:rsidP="001D633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before="240"/>
        <w:ind w:left="-215"/>
        <w:contextualSpacing w:val="0"/>
        <w:jc w:val="both"/>
        <w:rPr>
          <w:b/>
          <w:sz w:val="24"/>
          <w:szCs w:val="24"/>
          <w:shd w:val="clear" w:color="auto" w:fill="D9E2F3" w:themeFill="accent5" w:themeFillTint="33"/>
        </w:rPr>
      </w:pPr>
      <w:r w:rsidRPr="001D633B">
        <w:rPr>
          <w:b/>
          <w:sz w:val="24"/>
          <w:szCs w:val="24"/>
          <w:shd w:val="clear" w:color="auto" w:fill="D9E2F3" w:themeFill="accent5" w:themeFillTint="33"/>
        </w:rPr>
        <w:t>INTRODUCCIÓN</w:t>
      </w:r>
    </w:p>
    <w:p w:rsidR="00A47B66" w:rsidRPr="00A804C8" w:rsidRDefault="00A804C8" w:rsidP="00A47B66">
      <w:pPr>
        <w:pStyle w:val="Prrafodelista"/>
        <w:spacing w:before="240"/>
        <w:ind w:left="-284"/>
        <w:contextualSpacing w:val="0"/>
        <w:jc w:val="both"/>
        <w:rPr>
          <w:sz w:val="24"/>
          <w:szCs w:val="24"/>
        </w:rPr>
      </w:pPr>
      <w:r w:rsidRPr="00A804C8">
        <w:rPr>
          <w:sz w:val="24"/>
          <w:szCs w:val="24"/>
        </w:rPr>
        <w:t xml:space="preserve">Breve descripción de </w:t>
      </w:r>
      <w:r>
        <w:rPr>
          <w:sz w:val="24"/>
          <w:szCs w:val="24"/>
        </w:rPr>
        <w:t>la justificación</w:t>
      </w:r>
      <w:r w:rsidRPr="00A804C8">
        <w:rPr>
          <w:sz w:val="24"/>
          <w:szCs w:val="24"/>
        </w:rPr>
        <w:t xml:space="preserve"> de la modificación del título</w:t>
      </w:r>
      <w:r>
        <w:rPr>
          <w:sz w:val="24"/>
          <w:szCs w:val="24"/>
        </w:rPr>
        <w:t>.</w:t>
      </w:r>
    </w:p>
    <w:p w:rsidR="008C7F1F" w:rsidRPr="008C7F1F" w:rsidRDefault="008C7F1F" w:rsidP="001D633B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before="240"/>
        <w:ind w:left="142" w:hanging="357"/>
        <w:contextualSpacing w:val="0"/>
        <w:jc w:val="both"/>
        <w:rPr>
          <w:b/>
          <w:sz w:val="24"/>
          <w:szCs w:val="24"/>
        </w:rPr>
      </w:pPr>
      <w:r w:rsidRPr="001D633B">
        <w:rPr>
          <w:b/>
          <w:sz w:val="24"/>
          <w:szCs w:val="24"/>
          <w:shd w:val="clear" w:color="auto" w:fill="D9E2F3" w:themeFill="accent5" w:themeFillTint="33"/>
        </w:rPr>
        <w:t>DESCRIPCIÓN, OBJETIVOS FORMATIVOS Y JUSTIFICACIÓN DEL TÍTULO</w:t>
      </w:r>
    </w:p>
    <w:p w:rsidR="00CE1359" w:rsidRPr="001D633B" w:rsidRDefault="00CE1359" w:rsidP="004129A6">
      <w:pPr>
        <w:pStyle w:val="Prrafodelista"/>
        <w:numPr>
          <w:ilvl w:val="1"/>
          <w:numId w:val="3"/>
        </w:numPr>
        <w:pBdr>
          <w:bottom w:val="single" w:sz="4" w:space="1" w:color="auto"/>
        </w:pBdr>
        <w:spacing w:before="240"/>
        <w:ind w:left="0" w:hanging="357"/>
        <w:contextualSpacing w:val="0"/>
        <w:jc w:val="both"/>
        <w:rPr>
          <w:b/>
          <w:sz w:val="20"/>
          <w:szCs w:val="20"/>
        </w:rPr>
      </w:pPr>
      <w:r w:rsidRPr="001D633B">
        <w:rPr>
          <w:b/>
          <w:sz w:val="20"/>
          <w:szCs w:val="20"/>
        </w:rPr>
        <w:t>– 1.3 Denominación, ámbito, menciones/especialidades y otros datos básicos</w:t>
      </w:r>
    </w:p>
    <w:p w:rsidR="00CE1359" w:rsidRPr="001D633B" w:rsidRDefault="00CE1359" w:rsidP="001D633B">
      <w:pPr>
        <w:ind w:left="-142"/>
        <w:jc w:val="both"/>
        <w:rPr>
          <w:sz w:val="20"/>
          <w:szCs w:val="20"/>
        </w:rPr>
      </w:pPr>
    </w:p>
    <w:p w:rsidR="00CE1359" w:rsidRPr="001D633B" w:rsidRDefault="00CE1359" w:rsidP="004129A6">
      <w:pPr>
        <w:pBdr>
          <w:bottom w:val="single" w:sz="4" w:space="1" w:color="auto"/>
        </w:pBdr>
        <w:spacing w:before="240"/>
        <w:ind w:hanging="357"/>
        <w:jc w:val="both"/>
        <w:rPr>
          <w:b/>
          <w:sz w:val="20"/>
          <w:szCs w:val="20"/>
        </w:rPr>
      </w:pPr>
      <w:r w:rsidRPr="001D633B">
        <w:rPr>
          <w:b/>
          <w:sz w:val="20"/>
          <w:szCs w:val="20"/>
        </w:rPr>
        <w:t>1.4 – 1.9 Universidades, centros, modalidades, créditos, idiomas y plazas</w:t>
      </w:r>
    </w:p>
    <w:p w:rsidR="00CE1359" w:rsidRPr="001D633B" w:rsidRDefault="00CE1359" w:rsidP="001D633B">
      <w:pPr>
        <w:ind w:left="-142"/>
        <w:jc w:val="both"/>
        <w:rPr>
          <w:sz w:val="20"/>
          <w:szCs w:val="20"/>
        </w:rPr>
      </w:pPr>
    </w:p>
    <w:p w:rsidR="00CE1359" w:rsidRPr="001D633B" w:rsidRDefault="00CE1359" w:rsidP="004129A6">
      <w:pPr>
        <w:pBdr>
          <w:bottom w:val="single" w:sz="4" w:space="1" w:color="auto"/>
        </w:pBdr>
        <w:spacing w:before="240"/>
        <w:ind w:hanging="357"/>
        <w:jc w:val="both"/>
        <w:rPr>
          <w:b/>
          <w:sz w:val="20"/>
          <w:szCs w:val="20"/>
        </w:rPr>
      </w:pPr>
      <w:r w:rsidRPr="001D633B">
        <w:rPr>
          <w:b/>
          <w:sz w:val="20"/>
          <w:szCs w:val="20"/>
        </w:rPr>
        <w:t>1.10 Justificación del título</w:t>
      </w:r>
    </w:p>
    <w:p w:rsidR="00CE1359" w:rsidRPr="001D633B" w:rsidRDefault="00CE1359" w:rsidP="001D633B">
      <w:pPr>
        <w:ind w:left="-142"/>
        <w:jc w:val="both"/>
        <w:rPr>
          <w:sz w:val="20"/>
          <w:szCs w:val="20"/>
        </w:rPr>
      </w:pPr>
    </w:p>
    <w:p w:rsidR="00CE1359" w:rsidRPr="001D633B" w:rsidRDefault="00CE1359" w:rsidP="004129A6">
      <w:pPr>
        <w:pBdr>
          <w:bottom w:val="single" w:sz="4" w:space="1" w:color="auto"/>
        </w:pBdr>
        <w:spacing w:before="240"/>
        <w:ind w:hanging="357"/>
        <w:jc w:val="both"/>
        <w:rPr>
          <w:b/>
          <w:sz w:val="20"/>
          <w:szCs w:val="20"/>
        </w:rPr>
      </w:pPr>
      <w:r w:rsidRPr="001D633B">
        <w:rPr>
          <w:b/>
          <w:sz w:val="20"/>
          <w:szCs w:val="20"/>
        </w:rPr>
        <w:t>1.11 – 1.13 Objetivos formativos, estructuras curriculares específicas y de innovación docente</w:t>
      </w:r>
    </w:p>
    <w:p w:rsidR="00CE1359" w:rsidRPr="001D633B" w:rsidRDefault="00CE1359" w:rsidP="001D633B">
      <w:pPr>
        <w:ind w:left="-142"/>
        <w:jc w:val="both"/>
        <w:rPr>
          <w:sz w:val="20"/>
          <w:szCs w:val="20"/>
        </w:rPr>
      </w:pPr>
    </w:p>
    <w:p w:rsidR="00AD6997" w:rsidRPr="001D633B" w:rsidRDefault="00AD6997" w:rsidP="004129A6">
      <w:pPr>
        <w:pBdr>
          <w:bottom w:val="single" w:sz="4" w:space="1" w:color="auto"/>
        </w:pBdr>
        <w:spacing w:before="240"/>
        <w:ind w:hanging="357"/>
        <w:jc w:val="both"/>
        <w:rPr>
          <w:b/>
          <w:sz w:val="20"/>
          <w:szCs w:val="20"/>
        </w:rPr>
      </w:pPr>
      <w:r w:rsidRPr="001D633B">
        <w:rPr>
          <w:b/>
          <w:sz w:val="20"/>
          <w:szCs w:val="20"/>
        </w:rPr>
        <w:t>1.14 Perfiles fundamentales de egreso y profesiones reguladas</w:t>
      </w:r>
    </w:p>
    <w:p w:rsidR="00AD6997" w:rsidRPr="001D633B" w:rsidRDefault="00AD6997" w:rsidP="001D633B">
      <w:pPr>
        <w:ind w:left="-142"/>
        <w:jc w:val="both"/>
        <w:rPr>
          <w:sz w:val="20"/>
          <w:szCs w:val="20"/>
        </w:rPr>
      </w:pPr>
    </w:p>
    <w:p w:rsidR="00CE1359" w:rsidRPr="001D633B" w:rsidRDefault="008C7F1F" w:rsidP="001D633B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before="240"/>
        <w:ind w:left="142" w:hanging="357"/>
        <w:contextualSpacing w:val="0"/>
        <w:jc w:val="both"/>
        <w:rPr>
          <w:b/>
          <w:sz w:val="24"/>
          <w:szCs w:val="24"/>
          <w:shd w:val="clear" w:color="auto" w:fill="D9E2F3" w:themeFill="accent5" w:themeFillTint="33"/>
        </w:rPr>
      </w:pPr>
      <w:r w:rsidRPr="001D633B">
        <w:rPr>
          <w:b/>
          <w:sz w:val="24"/>
          <w:szCs w:val="24"/>
          <w:shd w:val="clear" w:color="auto" w:fill="D9E2F3" w:themeFill="accent5" w:themeFillTint="33"/>
        </w:rPr>
        <w:t>RESULTADOS DEL PROCESO DE FORMACIÓN Y APRENDIZAJE</w:t>
      </w:r>
    </w:p>
    <w:p w:rsidR="00AD6997" w:rsidRPr="001D633B" w:rsidRDefault="00AD6997" w:rsidP="001D633B">
      <w:pPr>
        <w:ind w:left="-142"/>
        <w:jc w:val="both"/>
        <w:rPr>
          <w:sz w:val="20"/>
          <w:szCs w:val="20"/>
        </w:rPr>
      </w:pPr>
    </w:p>
    <w:p w:rsidR="008C7F1F" w:rsidRPr="001D633B" w:rsidRDefault="008C7F1F" w:rsidP="001D633B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before="240"/>
        <w:ind w:left="142" w:hanging="357"/>
        <w:contextualSpacing w:val="0"/>
        <w:jc w:val="both"/>
        <w:rPr>
          <w:b/>
          <w:sz w:val="24"/>
          <w:szCs w:val="24"/>
          <w:shd w:val="clear" w:color="auto" w:fill="D9E2F3" w:themeFill="accent5" w:themeFillTint="33"/>
        </w:rPr>
      </w:pPr>
      <w:r w:rsidRPr="001D633B">
        <w:rPr>
          <w:b/>
          <w:sz w:val="24"/>
          <w:szCs w:val="24"/>
          <w:shd w:val="clear" w:color="auto" w:fill="D9E2F3" w:themeFill="accent5" w:themeFillTint="33"/>
        </w:rPr>
        <w:t>ADMISIÓN, RECONOCIMIENTO Y MOVILIDAD</w:t>
      </w:r>
    </w:p>
    <w:p w:rsidR="00AD6997" w:rsidRPr="001D633B" w:rsidRDefault="00AD6997" w:rsidP="004129A6">
      <w:pPr>
        <w:pBdr>
          <w:bottom w:val="single" w:sz="4" w:space="1" w:color="auto"/>
        </w:pBdr>
        <w:spacing w:before="240"/>
        <w:ind w:left="-357"/>
        <w:jc w:val="both"/>
        <w:rPr>
          <w:b/>
          <w:sz w:val="20"/>
          <w:szCs w:val="20"/>
        </w:rPr>
      </w:pPr>
      <w:r w:rsidRPr="001D633B">
        <w:rPr>
          <w:b/>
          <w:sz w:val="20"/>
          <w:szCs w:val="20"/>
        </w:rPr>
        <w:t>3.1 Requisitos de acceso y criterios de admisión</w:t>
      </w:r>
    </w:p>
    <w:p w:rsidR="00AD6997" w:rsidRPr="001D633B" w:rsidRDefault="00AD6997" w:rsidP="001D633B">
      <w:pPr>
        <w:ind w:left="-142"/>
        <w:jc w:val="both"/>
        <w:rPr>
          <w:sz w:val="20"/>
          <w:szCs w:val="20"/>
        </w:rPr>
      </w:pPr>
    </w:p>
    <w:p w:rsidR="00AD6997" w:rsidRPr="001D633B" w:rsidRDefault="00AD6997" w:rsidP="004129A6">
      <w:pPr>
        <w:pBdr>
          <w:bottom w:val="single" w:sz="4" w:space="1" w:color="auto"/>
        </w:pBdr>
        <w:spacing w:before="240"/>
        <w:ind w:left="-357"/>
        <w:jc w:val="both"/>
        <w:rPr>
          <w:b/>
          <w:sz w:val="20"/>
          <w:szCs w:val="20"/>
        </w:rPr>
      </w:pPr>
      <w:r w:rsidRPr="001D633B">
        <w:rPr>
          <w:b/>
          <w:sz w:val="20"/>
          <w:szCs w:val="20"/>
        </w:rPr>
        <w:t>3.2 Criterios de transferencia y reconocimiento de créditos</w:t>
      </w:r>
    </w:p>
    <w:p w:rsidR="00AD6997" w:rsidRPr="001D633B" w:rsidRDefault="00AD6997" w:rsidP="001D633B">
      <w:pPr>
        <w:ind w:left="-142"/>
        <w:jc w:val="both"/>
        <w:rPr>
          <w:sz w:val="20"/>
          <w:szCs w:val="20"/>
        </w:rPr>
      </w:pPr>
    </w:p>
    <w:p w:rsidR="00AD6997" w:rsidRPr="001D633B" w:rsidRDefault="00AD6997" w:rsidP="004129A6">
      <w:pPr>
        <w:pBdr>
          <w:bottom w:val="single" w:sz="4" w:space="1" w:color="auto"/>
        </w:pBdr>
        <w:spacing w:before="240"/>
        <w:ind w:left="-357"/>
        <w:jc w:val="both"/>
        <w:rPr>
          <w:b/>
          <w:sz w:val="20"/>
          <w:szCs w:val="20"/>
        </w:rPr>
      </w:pPr>
      <w:r w:rsidRPr="001D633B">
        <w:rPr>
          <w:b/>
          <w:sz w:val="20"/>
          <w:szCs w:val="20"/>
        </w:rPr>
        <w:t>3.3 Movilidad de los estudiantes propios y los de acogida</w:t>
      </w:r>
    </w:p>
    <w:p w:rsidR="00AD6997" w:rsidRDefault="00AD6997" w:rsidP="001D633B">
      <w:pPr>
        <w:ind w:left="-142"/>
        <w:jc w:val="both"/>
        <w:rPr>
          <w:sz w:val="20"/>
          <w:szCs w:val="20"/>
        </w:rPr>
      </w:pPr>
    </w:p>
    <w:p w:rsidR="001D633B" w:rsidRDefault="001D633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D633B" w:rsidRPr="001D633B" w:rsidRDefault="001D633B" w:rsidP="001D633B">
      <w:pPr>
        <w:ind w:left="-142"/>
        <w:jc w:val="both"/>
        <w:rPr>
          <w:sz w:val="20"/>
          <w:szCs w:val="20"/>
        </w:rPr>
      </w:pPr>
    </w:p>
    <w:p w:rsidR="008C7F1F" w:rsidRPr="001D633B" w:rsidRDefault="008C7F1F" w:rsidP="001D633B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before="240"/>
        <w:ind w:left="142" w:hanging="357"/>
        <w:contextualSpacing w:val="0"/>
        <w:jc w:val="both"/>
        <w:rPr>
          <w:b/>
          <w:sz w:val="24"/>
          <w:szCs w:val="24"/>
          <w:shd w:val="clear" w:color="auto" w:fill="D9E2F3" w:themeFill="accent5" w:themeFillTint="33"/>
        </w:rPr>
      </w:pPr>
      <w:r w:rsidRPr="001D633B">
        <w:rPr>
          <w:b/>
          <w:sz w:val="24"/>
          <w:szCs w:val="24"/>
          <w:shd w:val="clear" w:color="auto" w:fill="D9E2F3" w:themeFill="accent5" w:themeFillTint="33"/>
        </w:rPr>
        <w:t>PLANIFICACIÓN DE LAS ENSEÑANZAS</w:t>
      </w:r>
    </w:p>
    <w:p w:rsidR="00AD6997" w:rsidRPr="001D633B" w:rsidRDefault="00AD6997" w:rsidP="004129A6">
      <w:pPr>
        <w:pBdr>
          <w:bottom w:val="single" w:sz="4" w:space="1" w:color="auto"/>
        </w:pBdr>
        <w:spacing w:before="240"/>
        <w:ind w:left="-357"/>
        <w:jc w:val="both"/>
        <w:rPr>
          <w:b/>
          <w:sz w:val="20"/>
          <w:szCs w:val="20"/>
        </w:rPr>
      </w:pPr>
      <w:r w:rsidRPr="001D633B">
        <w:rPr>
          <w:b/>
          <w:sz w:val="20"/>
          <w:szCs w:val="20"/>
        </w:rPr>
        <w:t>4.1 Estructura básica de las enseñanzas</w:t>
      </w:r>
    </w:p>
    <w:p w:rsidR="00AD6997" w:rsidRPr="001D633B" w:rsidRDefault="00AD6997" w:rsidP="001D633B">
      <w:pPr>
        <w:ind w:left="-142"/>
        <w:jc w:val="both"/>
        <w:rPr>
          <w:sz w:val="20"/>
          <w:szCs w:val="20"/>
        </w:rPr>
      </w:pPr>
    </w:p>
    <w:p w:rsidR="00AD6997" w:rsidRPr="001D633B" w:rsidRDefault="00AD6997" w:rsidP="004129A6">
      <w:pPr>
        <w:pBdr>
          <w:bottom w:val="single" w:sz="4" w:space="1" w:color="auto"/>
        </w:pBdr>
        <w:spacing w:before="240"/>
        <w:ind w:left="-357"/>
        <w:jc w:val="both"/>
        <w:rPr>
          <w:b/>
          <w:sz w:val="20"/>
          <w:szCs w:val="20"/>
        </w:rPr>
      </w:pPr>
      <w:r w:rsidRPr="001D633B">
        <w:rPr>
          <w:b/>
          <w:sz w:val="20"/>
          <w:szCs w:val="20"/>
        </w:rPr>
        <w:t>4.2 Actividades y metodologías docentes</w:t>
      </w:r>
    </w:p>
    <w:p w:rsidR="00AD6997" w:rsidRPr="001D633B" w:rsidRDefault="00AD6997" w:rsidP="001D633B">
      <w:pPr>
        <w:ind w:left="-142"/>
        <w:jc w:val="both"/>
        <w:rPr>
          <w:sz w:val="20"/>
          <w:szCs w:val="20"/>
        </w:rPr>
      </w:pPr>
    </w:p>
    <w:p w:rsidR="00AD6997" w:rsidRPr="001D633B" w:rsidRDefault="00AD6997" w:rsidP="004129A6">
      <w:pPr>
        <w:pBdr>
          <w:bottom w:val="single" w:sz="4" w:space="1" w:color="auto"/>
        </w:pBdr>
        <w:spacing w:before="240"/>
        <w:ind w:left="-357"/>
        <w:jc w:val="both"/>
        <w:rPr>
          <w:b/>
          <w:sz w:val="20"/>
          <w:szCs w:val="20"/>
        </w:rPr>
      </w:pPr>
      <w:r w:rsidRPr="001D633B">
        <w:rPr>
          <w:b/>
          <w:sz w:val="20"/>
          <w:szCs w:val="20"/>
        </w:rPr>
        <w:t>4.3 Sistemas de evaluación</w:t>
      </w:r>
    </w:p>
    <w:p w:rsidR="00AD6997" w:rsidRPr="001D633B" w:rsidRDefault="00AD6997" w:rsidP="001D633B">
      <w:pPr>
        <w:ind w:left="-142"/>
        <w:jc w:val="both"/>
        <w:rPr>
          <w:sz w:val="20"/>
          <w:szCs w:val="20"/>
        </w:rPr>
      </w:pPr>
    </w:p>
    <w:p w:rsidR="00AD6997" w:rsidRPr="001D633B" w:rsidRDefault="00AD6997" w:rsidP="004129A6">
      <w:pPr>
        <w:pBdr>
          <w:bottom w:val="single" w:sz="4" w:space="1" w:color="auto"/>
        </w:pBdr>
        <w:spacing w:before="240"/>
        <w:ind w:left="-357"/>
        <w:jc w:val="both"/>
        <w:rPr>
          <w:b/>
          <w:sz w:val="20"/>
          <w:szCs w:val="20"/>
        </w:rPr>
      </w:pPr>
      <w:r w:rsidRPr="001D633B">
        <w:rPr>
          <w:b/>
          <w:sz w:val="20"/>
          <w:szCs w:val="20"/>
        </w:rPr>
        <w:t>4.4 Estructuras curriculares específicas</w:t>
      </w:r>
    </w:p>
    <w:p w:rsidR="00AD6997" w:rsidRPr="001D633B" w:rsidRDefault="00AD6997" w:rsidP="001D633B">
      <w:pPr>
        <w:ind w:left="-142"/>
        <w:jc w:val="both"/>
        <w:rPr>
          <w:sz w:val="20"/>
          <w:szCs w:val="20"/>
        </w:rPr>
      </w:pPr>
    </w:p>
    <w:p w:rsidR="00AD6997" w:rsidRPr="001D633B" w:rsidRDefault="008C7F1F" w:rsidP="001D633B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before="240"/>
        <w:ind w:left="142" w:hanging="357"/>
        <w:contextualSpacing w:val="0"/>
        <w:jc w:val="both"/>
        <w:rPr>
          <w:b/>
          <w:sz w:val="24"/>
          <w:szCs w:val="24"/>
          <w:shd w:val="clear" w:color="auto" w:fill="D9E2F3" w:themeFill="accent5" w:themeFillTint="33"/>
        </w:rPr>
      </w:pPr>
      <w:r w:rsidRPr="001D633B">
        <w:rPr>
          <w:b/>
          <w:sz w:val="24"/>
          <w:szCs w:val="24"/>
          <w:shd w:val="clear" w:color="auto" w:fill="D9E2F3" w:themeFill="accent5" w:themeFillTint="33"/>
        </w:rPr>
        <w:t>PERSONAL ACADÉMICO Y DE APOYO A LA DOCENCIA</w:t>
      </w:r>
    </w:p>
    <w:p w:rsidR="00AD6997" w:rsidRPr="001D633B" w:rsidRDefault="00AD6997" w:rsidP="001D633B">
      <w:pPr>
        <w:ind w:left="-142"/>
        <w:jc w:val="both"/>
        <w:rPr>
          <w:sz w:val="20"/>
          <w:szCs w:val="20"/>
        </w:rPr>
      </w:pPr>
    </w:p>
    <w:p w:rsidR="00AD6997" w:rsidRPr="001D633B" w:rsidRDefault="008C7F1F" w:rsidP="001D633B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before="240"/>
        <w:ind w:left="142" w:hanging="357"/>
        <w:contextualSpacing w:val="0"/>
        <w:jc w:val="both"/>
        <w:rPr>
          <w:b/>
          <w:sz w:val="24"/>
          <w:szCs w:val="24"/>
          <w:shd w:val="clear" w:color="auto" w:fill="D9E2F3" w:themeFill="accent5" w:themeFillTint="33"/>
        </w:rPr>
      </w:pPr>
      <w:r w:rsidRPr="001D633B">
        <w:rPr>
          <w:b/>
          <w:sz w:val="24"/>
          <w:szCs w:val="24"/>
          <w:shd w:val="clear" w:color="auto" w:fill="D9E2F3" w:themeFill="accent5" w:themeFillTint="33"/>
        </w:rPr>
        <w:t>RECURSOS MATERIALES E INFRAESTRUCTURALES, PRÁCTICAS Y SERVICIOS</w:t>
      </w:r>
    </w:p>
    <w:p w:rsidR="00AD6997" w:rsidRPr="001D633B" w:rsidRDefault="00AD6997" w:rsidP="001D633B">
      <w:pPr>
        <w:ind w:left="-142"/>
        <w:jc w:val="both"/>
        <w:rPr>
          <w:sz w:val="20"/>
          <w:szCs w:val="20"/>
        </w:rPr>
      </w:pPr>
    </w:p>
    <w:p w:rsidR="008C7F1F" w:rsidRPr="001D633B" w:rsidRDefault="008C7F1F" w:rsidP="001D633B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before="240"/>
        <w:ind w:left="142" w:hanging="357"/>
        <w:contextualSpacing w:val="0"/>
        <w:jc w:val="both"/>
        <w:rPr>
          <w:b/>
          <w:sz w:val="24"/>
          <w:szCs w:val="24"/>
          <w:shd w:val="clear" w:color="auto" w:fill="D9E2F3" w:themeFill="accent5" w:themeFillTint="33"/>
        </w:rPr>
      </w:pPr>
      <w:r w:rsidRPr="001D633B">
        <w:rPr>
          <w:b/>
          <w:sz w:val="24"/>
          <w:szCs w:val="24"/>
          <w:shd w:val="clear" w:color="auto" w:fill="D9E2F3" w:themeFill="accent5" w:themeFillTint="33"/>
        </w:rPr>
        <w:t>CALENDARIO DE IMPARTICIÓN</w:t>
      </w:r>
    </w:p>
    <w:p w:rsidR="00AD6997" w:rsidRPr="001D633B" w:rsidRDefault="00AD6997" w:rsidP="004129A6">
      <w:pPr>
        <w:pBdr>
          <w:bottom w:val="single" w:sz="4" w:space="1" w:color="auto"/>
        </w:pBdr>
        <w:spacing w:before="240"/>
        <w:ind w:left="-357"/>
        <w:jc w:val="both"/>
        <w:rPr>
          <w:b/>
          <w:sz w:val="20"/>
          <w:szCs w:val="20"/>
        </w:rPr>
      </w:pPr>
      <w:r w:rsidRPr="001D633B">
        <w:rPr>
          <w:b/>
          <w:sz w:val="20"/>
          <w:szCs w:val="20"/>
        </w:rPr>
        <w:t>7.1 Cronograma de implantación</w:t>
      </w:r>
    </w:p>
    <w:p w:rsidR="00AD6997" w:rsidRPr="001D633B" w:rsidRDefault="00AD6997" w:rsidP="001D633B">
      <w:pPr>
        <w:ind w:left="-142"/>
        <w:jc w:val="both"/>
        <w:rPr>
          <w:sz w:val="20"/>
          <w:szCs w:val="20"/>
        </w:rPr>
      </w:pPr>
    </w:p>
    <w:p w:rsidR="00AD6997" w:rsidRPr="001D633B" w:rsidRDefault="00AD6997" w:rsidP="004129A6">
      <w:pPr>
        <w:pBdr>
          <w:bottom w:val="single" w:sz="4" w:space="1" w:color="auto"/>
        </w:pBdr>
        <w:spacing w:before="240"/>
        <w:ind w:left="-357"/>
        <w:jc w:val="both"/>
        <w:rPr>
          <w:b/>
          <w:sz w:val="20"/>
          <w:szCs w:val="20"/>
        </w:rPr>
      </w:pPr>
      <w:r w:rsidRPr="001D633B">
        <w:rPr>
          <w:b/>
          <w:sz w:val="20"/>
          <w:szCs w:val="20"/>
        </w:rPr>
        <w:t>7.2 Procedimiento de adaptación</w:t>
      </w:r>
    </w:p>
    <w:p w:rsidR="00AD6997" w:rsidRPr="001D633B" w:rsidRDefault="00AD6997" w:rsidP="001D633B">
      <w:pPr>
        <w:ind w:left="-142"/>
        <w:jc w:val="both"/>
        <w:rPr>
          <w:sz w:val="20"/>
          <w:szCs w:val="20"/>
        </w:rPr>
      </w:pPr>
    </w:p>
    <w:p w:rsidR="00AD6997" w:rsidRPr="001D633B" w:rsidRDefault="00AD6997" w:rsidP="004129A6">
      <w:pPr>
        <w:pBdr>
          <w:bottom w:val="single" w:sz="4" w:space="1" w:color="auto"/>
        </w:pBdr>
        <w:spacing w:before="240"/>
        <w:ind w:left="-357"/>
        <w:jc w:val="both"/>
        <w:rPr>
          <w:b/>
          <w:sz w:val="20"/>
          <w:szCs w:val="20"/>
        </w:rPr>
      </w:pPr>
      <w:r w:rsidRPr="001D633B">
        <w:rPr>
          <w:b/>
          <w:sz w:val="20"/>
          <w:szCs w:val="20"/>
        </w:rPr>
        <w:t>7.3 Enseñanzas que se extinguen</w:t>
      </w:r>
    </w:p>
    <w:p w:rsidR="00AD6997" w:rsidRPr="001D633B" w:rsidRDefault="00AD6997" w:rsidP="001D633B">
      <w:pPr>
        <w:ind w:left="-142"/>
        <w:jc w:val="both"/>
        <w:rPr>
          <w:sz w:val="20"/>
          <w:szCs w:val="20"/>
        </w:rPr>
      </w:pPr>
    </w:p>
    <w:p w:rsidR="008C7F1F" w:rsidRPr="001D633B" w:rsidRDefault="008C7F1F" w:rsidP="001D633B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before="240"/>
        <w:ind w:left="142" w:hanging="357"/>
        <w:contextualSpacing w:val="0"/>
        <w:jc w:val="both"/>
        <w:rPr>
          <w:b/>
          <w:sz w:val="24"/>
          <w:szCs w:val="24"/>
          <w:shd w:val="clear" w:color="auto" w:fill="D9E2F3" w:themeFill="accent5" w:themeFillTint="33"/>
        </w:rPr>
      </w:pPr>
      <w:r w:rsidRPr="001D633B">
        <w:rPr>
          <w:b/>
          <w:sz w:val="24"/>
          <w:szCs w:val="24"/>
          <w:shd w:val="clear" w:color="auto" w:fill="D9E2F3" w:themeFill="accent5" w:themeFillTint="33"/>
        </w:rPr>
        <w:t>SISTEMA INTERNO DE GARANTÍA DE LA CALIDAD</w:t>
      </w:r>
    </w:p>
    <w:p w:rsidR="00AD6997" w:rsidRPr="001D633B" w:rsidRDefault="00AD6997" w:rsidP="004129A6">
      <w:pPr>
        <w:pBdr>
          <w:bottom w:val="single" w:sz="4" w:space="1" w:color="auto"/>
        </w:pBdr>
        <w:spacing w:before="240"/>
        <w:ind w:left="-357"/>
        <w:jc w:val="both"/>
        <w:rPr>
          <w:b/>
          <w:sz w:val="20"/>
          <w:szCs w:val="20"/>
        </w:rPr>
      </w:pPr>
      <w:r w:rsidRPr="001D633B">
        <w:rPr>
          <w:b/>
          <w:sz w:val="20"/>
          <w:szCs w:val="20"/>
        </w:rPr>
        <w:t>8.1. Sistema Interno de Garantía de la Calidad</w:t>
      </w:r>
    </w:p>
    <w:p w:rsidR="00AD6997" w:rsidRPr="001D633B" w:rsidRDefault="00AD6997" w:rsidP="001D633B">
      <w:pPr>
        <w:ind w:left="-142"/>
        <w:jc w:val="both"/>
        <w:rPr>
          <w:sz w:val="20"/>
          <w:szCs w:val="20"/>
        </w:rPr>
      </w:pPr>
    </w:p>
    <w:p w:rsidR="00AD6997" w:rsidRPr="001D633B" w:rsidRDefault="00AD6997" w:rsidP="004129A6">
      <w:pPr>
        <w:pBdr>
          <w:bottom w:val="single" w:sz="4" w:space="1" w:color="auto"/>
        </w:pBdr>
        <w:spacing w:before="240"/>
        <w:ind w:left="-357"/>
        <w:jc w:val="both"/>
        <w:rPr>
          <w:b/>
          <w:sz w:val="20"/>
          <w:szCs w:val="20"/>
        </w:rPr>
      </w:pPr>
      <w:bookmarkStart w:id="0" w:name="_GoBack"/>
      <w:r w:rsidRPr="001D633B">
        <w:rPr>
          <w:b/>
          <w:sz w:val="20"/>
          <w:szCs w:val="20"/>
        </w:rPr>
        <w:t>8.2 Información pública</w:t>
      </w:r>
    </w:p>
    <w:bookmarkEnd w:id="0"/>
    <w:p w:rsidR="00AD6997" w:rsidRPr="001D633B" w:rsidRDefault="00AD6997" w:rsidP="001D633B">
      <w:pPr>
        <w:ind w:left="-142"/>
        <w:jc w:val="both"/>
        <w:rPr>
          <w:sz w:val="20"/>
          <w:szCs w:val="20"/>
        </w:rPr>
      </w:pPr>
    </w:p>
    <w:sectPr w:rsidR="00AD6997" w:rsidRPr="001D63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246" w:rsidRDefault="00706246" w:rsidP="007B630E">
      <w:pPr>
        <w:spacing w:after="0" w:line="240" w:lineRule="auto"/>
      </w:pPr>
      <w:r>
        <w:separator/>
      </w:r>
    </w:p>
  </w:endnote>
  <w:endnote w:type="continuationSeparator" w:id="0">
    <w:p w:rsidR="00706246" w:rsidRDefault="00706246" w:rsidP="007B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D3" w:rsidRDefault="009852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D3" w:rsidRDefault="009852D3" w:rsidP="009852D3">
    <w:pPr>
      <w:pStyle w:val="Piedepgina"/>
      <w:jc w:val="right"/>
    </w:pPr>
    <w:r>
      <w:t xml:space="preserve">Pág. </w:t>
    </w:r>
    <w:r>
      <w:fldChar w:fldCharType="begin"/>
    </w:r>
    <w:r>
      <w:instrText xml:space="preserve"> PAGE   \* MERGEFORMAT </w:instrText>
    </w:r>
    <w:r>
      <w:fldChar w:fldCharType="separate"/>
    </w:r>
    <w:r w:rsidR="004129A6">
      <w:rPr>
        <w:noProof/>
      </w:rPr>
      <w:t>2</w:t>
    </w:r>
    <w:r>
      <w:fldChar w:fldCharType="end"/>
    </w:r>
    <w:r>
      <w:t xml:space="preserve"> de </w:t>
    </w:r>
    <w:r w:rsidR="004129A6">
      <w:fldChar w:fldCharType="begin"/>
    </w:r>
    <w:r w:rsidR="004129A6">
      <w:instrText xml:space="preserve"> NUMPAGES   \* MERGEFORMAT </w:instrText>
    </w:r>
    <w:r w:rsidR="004129A6">
      <w:fldChar w:fldCharType="separate"/>
    </w:r>
    <w:r w:rsidR="004129A6">
      <w:rPr>
        <w:noProof/>
      </w:rPr>
      <w:t>2</w:t>
    </w:r>
    <w:r w:rsidR="004129A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D3" w:rsidRDefault="009852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246" w:rsidRDefault="00706246" w:rsidP="007B630E">
      <w:pPr>
        <w:spacing w:after="0" w:line="240" w:lineRule="auto"/>
      </w:pPr>
      <w:r>
        <w:separator/>
      </w:r>
    </w:p>
  </w:footnote>
  <w:footnote w:type="continuationSeparator" w:id="0">
    <w:p w:rsidR="00706246" w:rsidRDefault="00706246" w:rsidP="007B6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D3" w:rsidRDefault="009852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30E" w:rsidRDefault="007B630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-413385</wp:posOffset>
          </wp:positionH>
          <wp:positionV relativeFrom="paragraph">
            <wp:posOffset>-268605</wp:posOffset>
          </wp:positionV>
          <wp:extent cx="1602000" cy="586800"/>
          <wp:effectExtent l="0" t="0" r="0" b="381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z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0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D3" w:rsidRDefault="009852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1557"/>
    <w:multiLevelType w:val="multilevel"/>
    <w:tmpl w:val="9C6447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6C365E"/>
    <w:multiLevelType w:val="hybridMultilevel"/>
    <w:tmpl w:val="FA240372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6313B"/>
    <w:multiLevelType w:val="hybridMultilevel"/>
    <w:tmpl w:val="39109DFC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7EDF"/>
    <w:multiLevelType w:val="hybridMultilevel"/>
    <w:tmpl w:val="70B66408"/>
    <w:lvl w:ilvl="0" w:tplc="0C0A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92"/>
    <w:rsid w:val="00042B27"/>
    <w:rsid w:val="00054C48"/>
    <w:rsid w:val="00091900"/>
    <w:rsid w:val="0011279F"/>
    <w:rsid w:val="001815D0"/>
    <w:rsid w:val="001D633B"/>
    <w:rsid w:val="001E2EDC"/>
    <w:rsid w:val="002319F5"/>
    <w:rsid w:val="00244C3F"/>
    <w:rsid w:val="002A3F91"/>
    <w:rsid w:val="002C3D2C"/>
    <w:rsid w:val="004129A6"/>
    <w:rsid w:val="00471D9C"/>
    <w:rsid w:val="00532E67"/>
    <w:rsid w:val="00573053"/>
    <w:rsid w:val="00575568"/>
    <w:rsid w:val="005F12F6"/>
    <w:rsid w:val="006849BF"/>
    <w:rsid w:val="006B3F5A"/>
    <w:rsid w:val="00706246"/>
    <w:rsid w:val="00730292"/>
    <w:rsid w:val="007B630E"/>
    <w:rsid w:val="008109CA"/>
    <w:rsid w:val="008C7F1F"/>
    <w:rsid w:val="008F3DA3"/>
    <w:rsid w:val="009852D3"/>
    <w:rsid w:val="00A47B66"/>
    <w:rsid w:val="00A804C8"/>
    <w:rsid w:val="00AD6997"/>
    <w:rsid w:val="00C8233D"/>
    <w:rsid w:val="00CD0039"/>
    <w:rsid w:val="00CE1359"/>
    <w:rsid w:val="00CE3F1D"/>
    <w:rsid w:val="00DB693A"/>
    <w:rsid w:val="00E23427"/>
    <w:rsid w:val="00EA0652"/>
    <w:rsid w:val="00EA1527"/>
    <w:rsid w:val="00ED733A"/>
    <w:rsid w:val="00F03635"/>
    <w:rsid w:val="00FD1794"/>
    <w:rsid w:val="00FF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876ED6"/>
  <w15:chartTrackingRefBased/>
  <w15:docId w15:val="{68F18093-36B1-45B3-93A2-2219BDD4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19F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319F5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E2E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2E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279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E13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6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30E"/>
  </w:style>
  <w:style w:type="paragraph" w:styleId="Piedepgina">
    <w:name w:val="footer"/>
    <w:basedOn w:val="Normal"/>
    <w:link w:val="PiedepginaCar"/>
    <w:uiPriority w:val="99"/>
    <w:unhideWhenUsed/>
    <w:rsid w:val="007B6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81CC9-0425-488F-B9CC-C7196942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tgonzalo</dc:creator>
  <cp:keywords/>
  <dc:description/>
  <cp:lastModifiedBy>tgonzalo</cp:lastModifiedBy>
  <cp:revision>3</cp:revision>
  <dcterms:created xsi:type="dcterms:W3CDTF">2023-06-12T12:52:00Z</dcterms:created>
  <dcterms:modified xsi:type="dcterms:W3CDTF">2023-06-12T12:54:00Z</dcterms:modified>
</cp:coreProperties>
</file>