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FB45" w14:textId="51045F8A" w:rsidR="00FD1794" w:rsidRPr="00471D9C" w:rsidRDefault="00583396" w:rsidP="00471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INFORME DE MODIFICACIONES NO SUSTANCIALES DEL GRADO/MÁSTER…….</w:t>
      </w:r>
    </w:p>
    <w:p w14:paraId="0F1A556B" w14:textId="6DC5E6E4" w:rsidR="00CE1359" w:rsidRDefault="00471D9C" w:rsidP="00471D9C">
      <w:pPr>
        <w:spacing w:after="360"/>
        <w:jc w:val="center"/>
      </w:pPr>
      <w:r>
        <w:t>(</w:t>
      </w:r>
      <w:r w:rsidR="009974B9">
        <w:t>Se deben</w:t>
      </w:r>
      <w:r>
        <w:t xml:space="preserve"> cumplimentar todos aquellos apartados afectados por la modificación </w:t>
      </w:r>
      <w:r w:rsidR="009974B9">
        <w:t xml:space="preserve">no sustancial </w:t>
      </w:r>
      <w:r>
        <w:t xml:space="preserve">del título </w:t>
      </w:r>
      <w:r w:rsidR="009974B9">
        <w:t>y eliminar todos aquellos que no se modifiquen</w:t>
      </w:r>
      <w:r>
        <w:t>)</w:t>
      </w:r>
    </w:p>
    <w:p w14:paraId="44B56DC2" w14:textId="380CD844" w:rsidR="009974B9" w:rsidRPr="009974B9" w:rsidRDefault="009974B9" w:rsidP="009974B9">
      <w:pPr>
        <w:spacing w:after="360"/>
        <w:rPr>
          <w:b/>
          <w:bCs/>
        </w:rPr>
      </w:pPr>
      <w:r w:rsidRPr="009974B9">
        <w:rPr>
          <w:b/>
          <w:bCs/>
        </w:rPr>
        <w:t>Fecha de aprobación por el SIGC:</w:t>
      </w:r>
    </w:p>
    <w:p w14:paraId="5B561736" w14:textId="5415A134" w:rsidR="009974B9" w:rsidRPr="009974B9" w:rsidRDefault="009974B9" w:rsidP="009974B9">
      <w:pPr>
        <w:spacing w:after="360"/>
        <w:rPr>
          <w:b/>
          <w:bCs/>
        </w:rPr>
      </w:pPr>
      <w:r w:rsidRPr="009974B9">
        <w:rPr>
          <w:b/>
          <w:bCs/>
        </w:rPr>
        <w:t>Fecha de aprobación por la Junta del Centro</w:t>
      </w:r>
      <w:r>
        <w:rPr>
          <w:rStyle w:val="Refdenotaalpie"/>
          <w:b/>
          <w:bCs/>
        </w:rPr>
        <w:footnoteReference w:id="1"/>
      </w:r>
      <w:r w:rsidRPr="009974B9">
        <w:rPr>
          <w:b/>
          <w:bCs/>
        </w:rPr>
        <w:t xml:space="preserve">: </w:t>
      </w:r>
    </w:p>
    <w:p w14:paraId="004BAB10" w14:textId="77777777" w:rsidR="00A47B66" w:rsidRPr="001D633B" w:rsidRDefault="00A47B66" w:rsidP="001D63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/>
        <w:ind w:left="-215"/>
        <w:contextualSpacing w:val="0"/>
        <w:jc w:val="both"/>
        <w:rPr>
          <w:b/>
          <w:sz w:val="24"/>
          <w:szCs w:val="24"/>
          <w:shd w:val="clear" w:color="auto" w:fill="D9E2F3" w:themeFill="accent5" w:themeFillTint="33"/>
        </w:rPr>
      </w:pPr>
      <w:r w:rsidRPr="001D633B">
        <w:rPr>
          <w:b/>
          <w:sz w:val="24"/>
          <w:szCs w:val="24"/>
          <w:shd w:val="clear" w:color="auto" w:fill="D9E2F3" w:themeFill="accent5" w:themeFillTint="33"/>
        </w:rPr>
        <w:t>INTRODUCCIÓN</w:t>
      </w:r>
    </w:p>
    <w:p w14:paraId="71EE3956" w14:textId="77777777" w:rsidR="00A47B66" w:rsidRPr="00A804C8" w:rsidRDefault="00A804C8" w:rsidP="00A47B66">
      <w:pPr>
        <w:pStyle w:val="Prrafodelista"/>
        <w:spacing w:before="240"/>
        <w:ind w:left="-284"/>
        <w:contextualSpacing w:val="0"/>
        <w:jc w:val="both"/>
        <w:rPr>
          <w:sz w:val="24"/>
          <w:szCs w:val="24"/>
        </w:rPr>
      </w:pPr>
      <w:r w:rsidRPr="00A804C8">
        <w:rPr>
          <w:sz w:val="24"/>
          <w:szCs w:val="24"/>
        </w:rPr>
        <w:t xml:space="preserve">Breve descripción de </w:t>
      </w:r>
      <w:r>
        <w:rPr>
          <w:sz w:val="24"/>
          <w:szCs w:val="24"/>
        </w:rPr>
        <w:t>la justificación</w:t>
      </w:r>
      <w:r w:rsidRPr="00A804C8">
        <w:rPr>
          <w:sz w:val="24"/>
          <w:szCs w:val="24"/>
        </w:rPr>
        <w:t xml:space="preserve"> de la modificación del título</w:t>
      </w:r>
      <w:r>
        <w:rPr>
          <w:sz w:val="24"/>
          <w:szCs w:val="24"/>
        </w:rPr>
        <w:t>.</w:t>
      </w:r>
    </w:p>
    <w:p w14:paraId="5B1A7EBF" w14:textId="77777777" w:rsidR="008C7F1F" w:rsidRPr="008C7F1F" w:rsidRDefault="008C7F1F" w:rsidP="001D633B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/>
        <w:ind w:left="142" w:hanging="357"/>
        <w:contextualSpacing w:val="0"/>
        <w:jc w:val="both"/>
        <w:rPr>
          <w:b/>
          <w:sz w:val="24"/>
          <w:szCs w:val="24"/>
        </w:rPr>
      </w:pPr>
      <w:r w:rsidRPr="001D633B">
        <w:rPr>
          <w:b/>
          <w:sz w:val="24"/>
          <w:szCs w:val="24"/>
          <w:shd w:val="clear" w:color="auto" w:fill="D9E2F3" w:themeFill="accent5" w:themeFillTint="33"/>
        </w:rPr>
        <w:t>DESCRIPCIÓN, OBJETIVOS FORMATIVOS Y JUSTIFICACIÓN DEL TÍTULO</w:t>
      </w:r>
    </w:p>
    <w:p w14:paraId="227D39D5" w14:textId="77777777" w:rsidR="00CE1359" w:rsidRPr="001D633B" w:rsidRDefault="00CE1359" w:rsidP="001D633B">
      <w:pPr>
        <w:pStyle w:val="Prrafodelista"/>
        <w:numPr>
          <w:ilvl w:val="1"/>
          <w:numId w:val="3"/>
        </w:numPr>
        <w:spacing w:before="240"/>
        <w:ind w:left="0" w:hanging="357"/>
        <w:contextualSpacing w:val="0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– 1.3 Denominación, ámbito, menciones/especialidades y otros datos básicos</w:t>
      </w:r>
    </w:p>
    <w:p w14:paraId="39206F0E" w14:textId="77777777" w:rsidR="00CE1359" w:rsidRPr="001D633B" w:rsidRDefault="00CE1359" w:rsidP="001D633B">
      <w:pPr>
        <w:ind w:left="-142"/>
        <w:jc w:val="both"/>
        <w:rPr>
          <w:sz w:val="20"/>
          <w:szCs w:val="20"/>
        </w:rPr>
      </w:pPr>
    </w:p>
    <w:p w14:paraId="2C513B49" w14:textId="77777777" w:rsidR="00CE1359" w:rsidRPr="001D633B" w:rsidRDefault="00CE1359" w:rsidP="001D633B">
      <w:pPr>
        <w:spacing w:before="240"/>
        <w:ind w:hanging="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1.4 – 1.9 Universidades, centros, modalidades, créditos, idiomas y plazas</w:t>
      </w:r>
    </w:p>
    <w:p w14:paraId="435C3922" w14:textId="77777777" w:rsidR="00CE1359" w:rsidRPr="001D633B" w:rsidRDefault="00CE1359" w:rsidP="001D633B">
      <w:pPr>
        <w:ind w:left="-142"/>
        <w:jc w:val="both"/>
        <w:rPr>
          <w:sz w:val="20"/>
          <w:szCs w:val="20"/>
        </w:rPr>
      </w:pPr>
    </w:p>
    <w:p w14:paraId="4408B07B" w14:textId="77777777" w:rsidR="00CE1359" w:rsidRPr="001D633B" w:rsidRDefault="00CE1359" w:rsidP="001D633B">
      <w:pPr>
        <w:spacing w:before="240"/>
        <w:ind w:hanging="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1.10 Justificación del título</w:t>
      </w:r>
    </w:p>
    <w:p w14:paraId="1C674470" w14:textId="77777777" w:rsidR="00CE1359" w:rsidRPr="001D633B" w:rsidRDefault="00CE1359" w:rsidP="001D633B">
      <w:pPr>
        <w:ind w:left="-142"/>
        <w:jc w:val="both"/>
        <w:rPr>
          <w:sz w:val="20"/>
          <w:szCs w:val="20"/>
        </w:rPr>
      </w:pPr>
    </w:p>
    <w:p w14:paraId="40B949CA" w14:textId="77777777" w:rsidR="00CE1359" w:rsidRPr="001D633B" w:rsidRDefault="00CE1359" w:rsidP="001D633B">
      <w:pPr>
        <w:spacing w:before="240"/>
        <w:ind w:hanging="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1.11 – 1.13 Objetivos formativos, estructuras curriculares específicas y de innovación docente</w:t>
      </w:r>
    </w:p>
    <w:p w14:paraId="1F50A0B4" w14:textId="77777777" w:rsidR="00CE1359" w:rsidRPr="001D633B" w:rsidRDefault="00CE1359" w:rsidP="001D633B">
      <w:pPr>
        <w:ind w:left="-142"/>
        <w:jc w:val="both"/>
        <w:rPr>
          <w:sz w:val="20"/>
          <w:szCs w:val="20"/>
        </w:rPr>
      </w:pPr>
    </w:p>
    <w:p w14:paraId="7331D674" w14:textId="77777777" w:rsidR="00AD6997" w:rsidRPr="001D633B" w:rsidRDefault="00AD6997" w:rsidP="001D633B">
      <w:pPr>
        <w:spacing w:before="240"/>
        <w:ind w:hanging="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1.14 Perfiles fundamentales de egreso y profesiones reguladas</w:t>
      </w:r>
    </w:p>
    <w:p w14:paraId="59FD21C4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5F053F55" w14:textId="77777777" w:rsidR="00CE1359" w:rsidRPr="001D633B" w:rsidRDefault="008C7F1F" w:rsidP="001D633B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/>
        <w:ind w:left="142" w:hanging="357"/>
        <w:contextualSpacing w:val="0"/>
        <w:jc w:val="both"/>
        <w:rPr>
          <w:b/>
          <w:sz w:val="24"/>
          <w:szCs w:val="24"/>
          <w:shd w:val="clear" w:color="auto" w:fill="D9E2F3" w:themeFill="accent5" w:themeFillTint="33"/>
        </w:rPr>
      </w:pPr>
      <w:r w:rsidRPr="001D633B">
        <w:rPr>
          <w:b/>
          <w:sz w:val="24"/>
          <w:szCs w:val="24"/>
          <w:shd w:val="clear" w:color="auto" w:fill="D9E2F3" w:themeFill="accent5" w:themeFillTint="33"/>
        </w:rPr>
        <w:t>RESULTADOS DEL PROCESO DE FORMACIÓN Y APRENDIZAJE</w:t>
      </w:r>
    </w:p>
    <w:p w14:paraId="675B85A1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3D2264F4" w14:textId="77777777" w:rsidR="008C7F1F" w:rsidRPr="001D633B" w:rsidRDefault="008C7F1F" w:rsidP="001D633B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/>
        <w:ind w:left="142" w:hanging="357"/>
        <w:contextualSpacing w:val="0"/>
        <w:jc w:val="both"/>
        <w:rPr>
          <w:b/>
          <w:sz w:val="24"/>
          <w:szCs w:val="24"/>
          <w:shd w:val="clear" w:color="auto" w:fill="D9E2F3" w:themeFill="accent5" w:themeFillTint="33"/>
        </w:rPr>
      </w:pPr>
      <w:r w:rsidRPr="001D633B">
        <w:rPr>
          <w:b/>
          <w:sz w:val="24"/>
          <w:szCs w:val="24"/>
          <w:shd w:val="clear" w:color="auto" w:fill="D9E2F3" w:themeFill="accent5" w:themeFillTint="33"/>
        </w:rPr>
        <w:t>ADMISIÓN, RECONOCIMIENTO Y MOVILIDAD</w:t>
      </w:r>
    </w:p>
    <w:p w14:paraId="6B87BAF5" w14:textId="77777777" w:rsidR="00AD6997" w:rsidRPr="001D633B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3.1 Requisitos de acceso y criterios de admisión</w:t>
      </w:r>
    </w:p>
    <w:p w14:paraId="511C2C6F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40E179A9" w14:textId="77777777" w:rsidR="00AD6997" w:rsidRPr="001D633B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3.2 Criterios de transferencia y reconocimiento de créditos</w:t>
      </w:r>
    </w:p>
    <w:p w14:paraId="25053258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53692DAA" w14:textId="30E604C6" w:rsidR="00AD6997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lastRenderedPageBreak/>
        <w:t>3.3 Movilidad de los estudiantes propios y los de acogida</w:t>
      </w:r>
    </w:p>
    <w:p w14:paraId="0352005E" w14:textId="77777777" w:rsidR="009974B9" w:rsidRPr="001D633B" w:rsidRDefault="009974B9" w:rsidP="001D633B">
      <w:pPr>
        <w:spacing w:before="240"/>
        <w:ind w:left="-357"/>
        <w:jc w:val="both"/>
        <w:rPr>
          <w:b/>
          <w:sz w:val="20"/>
          <w:szCs w:val="20"/>
        </w:rPr>
      </w:pPr>
    </w:p>
    <w:p w14:paraId="36EAE770" w14:textId="4F8EDBEE" w:rsidR="008C7F1F" w:rsidRPr="001D633B" w:rsidRDefault="008C7F1F" w:rsidP="009974B9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/>
        <w:ind w:left="142" w:hanging="357"/>
        <w:contextualSpacing w:val="0"/>
        <w:jc w:val="both"/>
        <w:rPr>
          <w:b/>
          <w:sz w:val="24"/>
          <w:szCs w:val="24"/>
          <w:shd w:val="clear" w:color="auto" w:fill="D9E2F3" w:themeFill="accent5" w:themeFillTint="33"/>
        </w:rPr>
      </w:pPr>
      <w:r w:rsidRPr="001D633B">
        <w:rPr>
          <w:b/>
          <w:sz w:val="24"/>
          <w:szCs w:val="24"/>
          <w:shd w:val="clear" w:color="auto" w:fill="D9E2F3" w:themeFill="accent5" w:themeFillTint="33"/>
        </w:rPr>
        <w:t>PLANIFICACIÓN DE LAS ENSEÑANZAS</w:t>
      </w:r>
    </w:p>
    <w:p w14:paraId="6CBD8150" w14:textId="77777777" w:rsidR="00AD6997" w:rsidRPr="001D633B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4.1 Estructura básica de las enseñanzas</w:t>
      </w:r>
    </w:p>
    <w:p w14:paraId="3D16C642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2DC0B6E8" w14:textId="77777777" w:rsidR="00AD6997" w:rsidRPr="001D633B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4.2 Actividades y metodologías docentes</w:t>
      </w:r>
    </w:p>
    <w:p w14:paraId="5535AF75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0798F8CB" w14:textId="77777777" w:rsidR="00AD6997" w:rsidRPr="001D633B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4.3 Sistemas de evaluación</w:t>
      </w:r>
    </w:p>
    <w:p w14:paraId="128D3CB2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4F5E2DF0" w14:textId="77777777" w:rsidR="00AD6997" w:rsidRPr="001D633B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4.4 Estructuras curriculares específicas</w:t>
      </w:r>
    </w:p>
    <w:p w14:paraId="6B152FA5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26D1B684" w14:textId="77777777" w:rsidR="00AD6997" w:rsidRPr="001D633B" w:rsidRDefault="008C7F1F" w:rsidP="001D633B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/>
        <w:ind w:left="142" w:hanging="357"/>
        <w:contextualSpacing w:val="0"/>
        <w:jc w:val="both"/>
        <w:rPr>
          <w:b/>
          <w:sz w:val="24"/>
          <w:szCs w:val="24"/>
          <w:shd w:val="clear" w:color="auto" w:fill="D9E2F3" w:themeFill="accent5" w:themeFillTint="33"/>
        </w:rPr>
      </w:pPr>
      <w:r w:rsidRPr="001D633B">
        <w:rPr>
          <w:b/>
          <w:sz w:val="24"/>
          <w:szCs w:val="24"/>
          <w:shd w:val="clear" w:color="auto" w:fill="D9E2F3" w:themeFill="accent5" w:themeFillTint="33"/>
        </w:rPr>
        <w:t>PERSONAL ACADÉMICO Y DE APOYO A LA DOCENCIA</w:t>
      </w:r>
    </w:p>
    <w:p w14:paraId="5653BD3E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658FE4D0" w14:textId="77777777" w:rsidR="00AD6997" w:rsidRPr="001D633B" w:rsidRDefault="008C7F1F" w:rsidP="001D633B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/>
        <w:ind w:left="142" w:hanging="357"/>
        <w:contextualSpacing w:val="0"/>
        <w:jc w:val="both"/>
        <w:rPr>
          <w:b/>
          <w:sz w:val="24"/>
          <w:szCs w:val="24"/>
          <w:shd w:val="clear" w:color="auto" w:fill="D9E2F3" w:themeFill="accent5" w:themeFillTint="33"/>
        </w:rPr>
      </w:pPr>
      <w:r w:rsidRPr="001D633B">
        <w:rPr>
          <w:b/>
          <w:sz w:val="24"/>
          <w:szCs w:val="24"/>
          <w:shd w:val="clear" w:color="auto" w:fill="D9E2F3" w:themeFill="accent5" w:themeFillTint="33"/>
        </w:rPr>
        <w:t>RECURSOS MATERIALES E INFRAESTRUCTURALES, PRÁCTICAS Y SERVICIOS</w:t>
      </w:r>
    </w:p>
    <w:p w14:paraId="5C49F1FA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1BD4EBAC" w14:textId="77777777" w:rsidR="008C7F1F" w:rsidRPr="001D633B" w:rsidRDefault="008C7F1F" w:rsidP="001D633B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/>
        <w:ind w:left="142" w:hanging="357"/>
        <w:contextualSpacing w:val="0"/>
        <w:jc w:val="both"/>
        <w:rPr>
          <w:b/>
          <w:sz w:val="24"/>
          <w:szCs w:val="24"/>
          <w:shd w:val="clear" w:color="auto" w:fill="D9E2F3" w:themeFill="accent5" w:themeFillTint="33"/>
        </w:rPr>
      </w:pPr>
      <w:r w:rsidRPr="001D633B">
        <w:rPr>
          <w:b/>
          <w:sz w:val="24"/>
          <w:szCs w:val="24"/>
          <w:shd w:val="clear" w:color="auto" w:fill="D9E2F3" w:themeFill="accent5" w:themeFillTint="33"/>
        </w:rPr>
        <w:t>CALENDARIO DE IMPARTICIÓN</w:t>
      </w:r>
    </w:p>
    <w:p w14:paraId="5261F5E2" w14:textId="77777777" w:rsidR="00AD6997" w:rsidRPr="001D633B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7.1 Cronograma de implantación</w:t>
      </w:r>
    </w:p>
    <w:p w14:paraId="1322B51F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358B2DD2" w14:textId="77777777" w:rsidR="00AD6997" w:rsidRPr="001D633B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7.2 Procedimiento de adaptación</w:t>
      </w:r>
    </w:p>
    <w:p w14:paraId="376996AC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68C625F7" w14:textId="77777777" w:rsidR="00AD6997" w:rsidRPr="001D633B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7.3 Enseñanzas que se extinguen</w:t>
      </w:r>
    </w:p>
    <w:p w14:paraId="14AB5AA3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0CC0D3E5" w14:textId="77777777" w:rsidR="008C7F1F" w:rsidRPr="001D633B" w:rsidRDefault="008C7F1F" w:rsidP="001D633B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/>
        <w:ind w:left="142" w:hanging="357"/>
        <w:contextualSpacing w:val="0"/>
        <w:jc w:val="both"/>
        <w:rPr>
          <w:b/>
          <w:sz w:val="24"/>
          <w:szCs w:val="24"/>
          <w:shd w:val="clear" w:color="auto" w:fill="D9E2F3" w:themeFill="accent5" w:themeFillTint="33"/>
        </w:rPr>
      </w:pPr>
      <w:r w:rsidRPr="001D633B">
        <w:rPr>
          <w:b/>
          <w:sz w:val="24"/>
          <w:szCs w:val="24"/>
          <w:shd w:val="clear" w:color="auto" w:fill="D9E2F3" w:themeFill="accent5" w:themeFillTint="33"/>
        </w:rPr>
        <w:t>SISTEMA INTERNO DE GARANTÍA DE LA CALIDAD</w:t>
      </w:r>
    </w:p>
    <w:p w14:paraId="5C8D9FE7" w14:textId="77777777" w:rsidR="00AD6997" w:rsidRPr="001D633B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8.1. Sistema Interno de Garantía de la Calidad</w:t>
      </w:r>
    </w:p>
    <w:p w14:paraId="403C4519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p w14:paraId="6333A44D" w14:textId="77777777" w:rsidR="00AD6997" w:rsidRPr="001D633B" w:rsidRDefault="00AD6997" w:rsidP="001D633B">
      <w:pPr>
        <w:spacing w:before="240"/>
        <w:ind w:left="-357"/>
        <w:jc w:val="both"/>
        <w:rPr>
          <w:b/>
          <w:sz w:val="20"/>
          <w:szCs w:val="20"/>
        </w:rPr>
      </w:pPr>
      <w:r w:rsidRPr="001D633B">
        <w:rPr>
          <w:b/>
          <w:sz w:val="20"/>
          <w:szCs w:val="20"/>
        </w:rPr>
        <w:t>8.2 Información pública</w:t>
      </w:r>
    </w:p>
    <w:p w14:paraId="4F32FE1B" w14:textId="77777777" w:rsidR="00AD6997" w:rsidRPr="001D633B" w:rsidRDefault="00AD6997" w:rsidP="001D633B">
      <w:pPr>
        <w:ind w:left="-142"/>
        <w:jc w:val="both"/>
        <w:rPr>
          <w:sz w:val="20"/>
          <w:szCs w:val="20"/>
        </w:rPr>
      </w:pPr>
    </w:p>
    <w:sectPr w:rsidR="00AD6997" w:rsidRPr="001D6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7E9A" w14:textId="77777777" w:rsidR="00706246" w:rsidRDefault="00706246" w:rsidP="007B630E">
      <w:pPr>
        <w:spacing w:after="0" w:line="240" w:lineRule="auto"/>
      </w:pPr>
      <w:r>
        <w:separator/>
      </w:r>
    </w:p>
  </w:endnote>
  <w:endnote w:type="continuationSeparator" w:id="0">
    <w:p w14:paraId="735D4660" w14:textId="77777777" w:rsidR="00706246" w:rsidRDefault="00706246" w:rsidP="007B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1AA7" w14:textId="77777777" w:rsidR="009852D3" w:rsidRDefault="009852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1E32" w14:textId="77777777" w:rsidR="009852D3" w:rsidRDefault="009852D3" w:rsidP="009852D3">
    <w:pPr>
      <w:pStyle w:val="Piedepgina"/>
      <w:jc w:val="right"/>
    </w:pPr>
    <w: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 w:rsidR="00244C3F">
      <w:rPr>
        <w:noProof/>
      </w:rPr>
      <w:t>2</w:t>
    </w:r>
    <w:r>
      <w:fldChar w:fldCharType="end"/>
    </w:r>
    <w:r>
      <w:t xml:space="preserve"> de </w:t>
    </w:r>
    <w:r w:rsidR="009974B9">
      <w:fldChar w:fldCharType="begin"/>
    </w:r>
    <w:r w:rsidR="009974B9">
      <w:instrText xml:space="preserve"> NUMPAGES   \* MERGEFORMAT </w:instrText>
    </w:r>
    <w:r w:rsidR="009974B9">
      <w:fldChar w:fldCharType="separate"/>
    </w:r>
    <w:r w:rsidR="00244C3F">
      <w:rPr>
        <w:noProof/>
      </w:rPr>
      <w:t>2</w:t>
    </w:r>
    <w:r w:rsidR="009974B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BAA3" w14:textId="77777777" w:rsidR="009852D3" w:rsidRDefault="009852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2D5E" w14:textId="77777777" w:rsidR="00706246" w:rsidRDefault="00706246" w:rsidP="007B630E">
      <w:pPr>
        <w:spacing w:after="0" w:line="240" w:lineRule="auto"/>
      </w:pPr>
      <w:r>
        <w:separator/>
      </w:r>
    </w:p>
  </w:footnote>
  <w:footnote w:type="continuationSeparator" w:id="0">
    <w:p w14:paraId="4940E3C5" w14:textId="77777777" w:rsidR="00706246" w:rsidRDefault="00706246" w:rsidP="007B630E">
      <w:pPr>
        <w:spacing w:after="0" w:line="240" w:lineRule="auto"/>
      </w:pPr>
      <w:r>
        <w:continuationSeparator/>
      </w:r>
    </w:p>
  </w:footnote>
  <w:footnote w:id="1">
    <w:p w14:paraId="5CD63835" w14:textId="79CC1310" w:rsidR="009974B9" w:rsidRDefault="009974B9">
      <w:pPr>
        <w:pStyle w:val="Textonotapie"/>
      </w:pPr>
      <w:r>
        <w:rPr>
          <w:rStyle w:val="Refdenotaalpie"/>
        </w:rPr>
        <w:footnoteRef/>
      </w:r>
      <w:r>
        <w:t xml:space="preserve"> Se anexa el acuerdo de aprobación de la Junta de Centro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AD54" w14:textId="77777777" w:rsidR="009852D3" w:rsidRDefault="009852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A8DC" w14:textId="77777777" w:rsidR="007B630E" w:rsidRDefault="007B630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0556BFA" wp14:editId="681C0BB1">
          <wp:simplePos x="0" y="0"/>
          <wp:positionH relativeFrom="column">
            <wp:posOffset>-413385</wp:posOffset>
          </wp:positionH>
          <wp:positionV relativeFrom="paragraph">
            <wp:posOffset>-200757</wp:posOffset>
          </wp:positionV>
          <wp:extent cx="1602000" cy="451104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45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3EDD" w14:textId="77777777" w:rsidR="009852D3" w:rsidRDefault="009852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557"/>
    <w:multiLevelType w:val="multilevel"/>
    <w:tmpl w:val="9C644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6C365E"/>
    <w:multiLevelType w:val="hybridMultilevel"/>
    <w:tmpl w:val="FA240372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13B"/>
    <w:multiLevelType w:val="hybridMultilevel"/>
    <w:tmpl w:val="39109DFC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37EDF"/>
    <w:multiLevelType w:val="hybridMultilevel"/>
    <w:tmpl w:val="70B66408"/>
    <w:lvl w:ilvl="0" w:tplc="0C0A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92"/>
    <w:rsid w:val="00042B27"/>
    <w:rsid w:val="00054C48"/>
    <w:rsid w:val="00091900"/>
    <w:rsid w:val="0011279F"/>
    <w:rsid w:val="001815D0"/>
    <w:rsid w:val="001D633B"/>
    <w:rsid w:val="001E2EDC"/>
    <w:rsid w:val="002319F5"/>
    <w:rsid w:val="00244C3F"/>
    <w:rsid w:val="002A3F91"/>
    <w:rsid w:val="00471D9C"/>
    <w:rsid w:val="00532E67"/>
    <w:rsid w:val="00573053"/>
    <w:rsid w:val="00575568"/>
    <w:rsid w:val="00583396"/>
    <w:rsid w:val="005F12F6"/>
    <w:rsid w:val="006849BF"/>
    <w:rsid w:val="006B3F5A"/>
    <w:rsid w:val="00706246"/>
    <w:rsid w:val="00730292"/>
    <w:rsid w:val="007B630E"/>
    <w:rsid w:val="008109CA"/>
    <w:rsid w:val="008C7F1F"/>
    <w:rsid w:val="008F3DA3"/>
    <w:rsid w:val="009852D3"/>
    <w:rsid w:val="009974B9"/>
    <w:rsid w:val="00A47B66"/>
    <w:rsid w:val="00A804C8"/>
    <w:rsid w:val="00AD6997"/>
    <w:rsid w:val="00B334F8"/>
    <w:rsid w:val="00CD0039"/>
    <w:rsid w:val="00CE1359"/>
    <w:rsid w:val="00CE3F1D"/>
    <w:rsid w:val="00DB693A"/>
    <w:rsid w:val="00E23427"/>
    <w:rsid w:val="00EA0652"/>
    <w:rsid w:val="00EA1527"/>
    <w:rsid w:val="00ED733A"/>
    <w:rsid w:val="00F03635"/>
    <w:rsid w:val="00FD1794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36406E"/>
  <w15:chartTrackingRefBased/>
  <w15:docId w15:val="{68F18093-36B1-45B3-93A2-2219BDD4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19F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19F5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E2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2E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279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E13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0E"/>
  </w:style>
  <w:style w:type="paragraph" w:styleId="Piedepgina">
    <w:name w:val="footer"/>
    <w:basedOn w:val="Normal"/>
    <w:link w:val="PiedepginaCar"/>
    <w:uiPriority w:val="99"/>
    <w:unhideWhenUsed/>
    <w:rsid w:val="007B6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0E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974B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974B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974B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74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74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7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BBDB-AC00-420F-AE2B-3C9CC14D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tgonzalo</dc:creator>
  <cp:keywords/>
  <dc:description/>
  <cp:lastModifiedBy>Mª Soledad Lorente Latorre</cp:lastModifiedBy>
  <cp:revision>3</cp:revision>
  <dcterms:created xsi:type="dcterms:W3CDTF">2025-05-30T10:37:00Z</dcterms:created>
  <dcterms:modified xsi:type="dcterms:W3CDTF">2025-05-30T10:42:00Z</dcterms:modified>
</cp:coreProperties>
</file>